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B1B95" w:rsidRPr="002B1B95" w:rsidP="00C33FE4" w14:paraId="092D757D" w14:textId="77777777">
      <w:pPr>
        <w:spacing w:line="480" w:lineRule="auto"/>
        <w:rPr>
          <w:rFonts w:ascii="Times New Roman" w:hAnsi="Times New Roman" w:cs="Times New Roman"/>
          <w:sz w:val="24"/>
          <w:szCs w:val="24"/>
        </w:rPr>
      </w:pPr>
    </w:p>
    <w:p w:rsidR="002B1B95" w:rsidP="002B1B95" w14:paraId="60372278" w14:textId="77777777">
      <w:pPr>
        <w:spacing w:line="480" w:lineRule="auto"/>
        <w:jc w:val="center"/>
        <w:rPr>
          <w:rFonts w:ascii="Times New Roman" w:hAnsi="Times New Roman" w:cs="Times New Roman"/>
          <w:color w:val="222222"/>
          <w:sz w:val="24"/>
          <w:szCs w:val="24"/>
          <w:shd w:val="clear" w:color="auto" w:fill="FFFFFF"/>
        </w:rPr>
      </w:pPr>
    </w:p>
    <w:p w:rsidR="002B1B95" w:rsidP="002B1B95" w14:paraId="2760BAD7" w14:textId="77777777">
      <w:pPr>
        <w:spacing w:line="480" w:lineRule="auto"/>
        <w:jc w:val="center"/>
        <w:rPr>
          <w:rFonts w:ascii="Times New Roman" w:hAnsi="Times New Roman" w:cs="Times New Roman"/>
          <w:color w:val="222222"/>
          <w:sz w:val="24"/>
          <w:szCs w:val="24"/>
          <w:shd w:val="clear" w:color="auto" w:fill="FFFFFF"/>
        </w:rPr>
      </w:pPr>
    </w:p>
    <w:p w:rsidR="002B1B95" w:rsidP="002B1B95" w14:paraId="44B953D4" w14:textId="77777777">
      <w:pPr>
        <w:spacing w:line="480" w:lineRule="auto"/>
        <w:jc w:val="center"/>
        <w:rPr>
          <w:rFonts w:ascii="Times New Roman" w:hAnsi="Times New Roman" w:cs="Times New Roman"/>
          <w:color w:val="222222"/>
          <w:sz w:val="24"/>
          <w:szCs w:val="24"/>
          <w:shd w:val="clear" w:color="auto" w:fill="FFFFFF"/>
        </w:rPr>
      </w:pPr>
    </w:p>
    <w:p w:rsidR="002B1B95" w:rsidP="002B1B95" w14:paraId="4EA5F3F9" w14:textId="77777777">
      <w:pPr>
        <w:spacing w:line="480" w:lineRule="auto"/>
        <w:jc w:val="center"/>
        <w:rPr>
          <w:rFonts w:ascii="Times New Roman" w:hAnsi="Times New Roman" w:cs="Times New Roman"/>
          <w:color w:val="222222"/>
          <w:sz w:val="24"/>
          <w:szCs w:val="24"/>
          <w:shd w:val="clear" w:color="auto" w:fill="FFFFFF"/>
        </w:rPr>
      </w:pPr>
    </w:p>
    <w:p w:rsidR="002B1B95" w:rsidRPr="002B1B95" w:rsidP="002B1B95" w14:paraId="2C7EA5FA" w14:textId="14D1C602">
      <w:pPr>
        <w:spacing w:line="480" w:lineRule="auto"/>
        <w:jc w:val="center"/>
        <w:rPr>
          <w:rFonts w:ascii="Times New Roman" w:hAnsi="Times New Roman" w:cs="Times New Roman"/>
          <w:color w:val="222222"/>
          <w:sz w:val="24"/>
          <w:szCs w:val="24"/>
          <w:shd w:val="clear" w:color="auto" w:fill="FFFFFF"/>
        </w:rPr>
      </w:pPr>
      <w:r w:rsidRPr="002B1B95">
        <w:rPr>
          <w:rFonts w:ascii="Times New Roman" w:hAnsi="Times New Roman" w:cs="Times New Roman"/>
          <w:color w:val="222222"/>
          <w:sz w:val="24"/>
          <w:szCs w:val="24"/>
          <w:shd w:val="clear" w:color="auto" w:fill="FFFFFF"/>
        </w:rPr>
        <w:t>Staffing Turnover</w:t>
      </w:r>
    </w:p>
    <w:p w:rsidR="002B1B95" w:rsidRPr="002B1B95" w:rsidP="002B1B95" w14:paraId="27BEA003" w14:textId="531D3E15">
      <w:pPr>
        <w:spacing w:line="480" w:lineRule="auto"/>
        <w:jc w:val="center"/>
        <w:rPr>
          <w:rFonts w:ascii="Times New Roman" w:hAnsi="Times New Roman" w:cs="Times New Roman"/>
          <w:color w:val="222222"/>
          <w:sz w:val="24"/>
          <w:szCs w:val="24"/>
          <w:shd w:val="clear" w:color="auto" w:fill="FFFFFF"/>
        </w:rPr>
      </w:pPr>
      <w:r w:rsidRPr="002B1B95">
        <w:rPr>
          <w:rFonts w:ascii="Times New Roman" w:hAnsi="Times New Roman" w:cs="Times New Roman"/>
          <w:color w:val="222222"/>
          <w:sz w:val="24"/>
          <w:szCs w:val="24"/>
          <w:shd w:val="clear" w:color="auto" w:fill="FFFFFF"/>
        </w:rPr>
        <w:t>Student’s Name</w:t>
      </w:r>
    </w:p>
    <w:p w:rsidR="002B1B95" w:rsidRPr="002B1B95" w:rsidP="002B1B95" w14:paraId="23E38C10" w14:textId="3C17DC43">
      <w:pPr>
        <w:spacing w:line="480" w:lineRule="auto"/>
        <w:jc w:val="center"/>
        <w:rPr>
          <w:rFonts w:ascii="Times New Roman" w:hAnsi="Times New Roman" w:cs="Times New Roman"/>
          <w:color w:val="222222"/>
          <w:sz w:val="24"/>
          <w:szCs w:val="24"/>
          <w:shd w:val="clear" w:color="auto" w:fill="FFFFFF"/>
        </w:rPr>
      </w:pPr>
      <w:r w:rsidRPr="002B1B95">
        <w:rPr>
          <w:rFonts w:ascii="Times New Roman" w:hAnsi="Times New Roman" w:cs="Times New Roman"/>
          <w:color w:val="222222"/>
          <w:sz w:val="24"/>
          <w:szCs w:val="24"/>
          <w:shd w:val="clear" w:color="auto" w:fill="FFFFFF"/>
        </w:rPr>
        <w:t>Instructor’s Name</w:t>
      </w:r>
    </w:p>
    <w:p w:rsidR="002B1B95" w:rsidRPr="002B1B95" w:rsidP="002B1B95" w14:paraId="7A69D8CB" w14:textId="015323FD">
      <w:pPr>
        <w:spacing w:line="480" w:lineRule="auto"/>
        <w:jc w:val="center"/>
        <w:rPr>
          <w:rFonts w:ascii="Times New Roman" w:hAnsi="Times New Roman" w:cs="Times New Roman"/>
          <w:sz w:val="24"/>
          <w:szCs w:val="24"/>
        </w:rPr>
      </w:pPr>
      <w:r w:rsidRPr="002B1B95">
        <w:rPr>
          <w:rFonts w:ascii="Times New Roman" w:hAnsi="Times New Roman" w:cs="Times New Roman"/>
          <w:color w:val="222222"/>
          <w:sz w:val="24"/>
          <w:szCs w:val="24"/>
          <w:shd w:val="clear" w:color="auto" w:fill="FFFFFF"/>
        </w:rPr>
        <w:t xml:space="preserve">Date </w:t>
      </w:r>
    </w:p>
    <w:p w:rsidR="002B1B95" w:rsidRPr="002B1B95" w:rsidP="00C33FE4" w14:paraId="7E3A65D0" w14:textId="77777777">
      <w:pPr>
        <w:spacing w:line="480" w:lineRule="auto"/>
        <w:rPr>
          <w:rFonts w:ascii="Times New Roman" w:hAnsi="Times New Roman" w:cs="Times New Roman"/>
          <w:sz w:val="24"/>
          <w:szCs w:val="24"/>
        </w:rPr>
      </w:pPr>
    </w:p>
    <w:p w:rsidR="002B1B95" w:rsidP="00C33FE4" w14:paraId="1C9A7606" w14:textId="77777777">
      <w:pPr>
        <w:spacing w:line="480" w:lineRule="auto"/>
        <w:rPr>
          <w:rFonts w:ascii="Times New Roman" w:hAnsi="Times New Roman" w:cs="Times New Roman"/>
          <w:sz w:val="24"/>
          <w:szCs w:val="24"/>
        </w:rPr>
      </w:pPr>
    </w:p>
    <w:p w:rsidR="002B1B95" w:rsidP="00C33FE4" w14:paraId="7DE3462C" w14:textId="77777777">
      <w:pPr>
        <w:spacing w:line="480" w:lineRule="auto"/>
        <w:rPr>
          <w:rFonts w:ascii="Times New Roman" w:hAnsi="Times New Roman" w:cs="Times New Roman"/>
          <w:sz w:val="24"/>
          <w:szCs w:val="24"/>
        </w:rPr>
      </w:pPr>
    </w:p>
    <w:p w:rsidR="002B1B95" w:rsidP="00C33FE4" w14:paraId="348F0072" w14:textId="77777777">
      <w:pPr>
        <w:spacing w:line="480" w:lineRule="auto"/>
        <w:rPr>
          <w:rFonts w:ascii="Times New Roman" w:hAnsi="Times New Roman" w:cs="Times New Roman"/>
          <w:sz w:val="24"/>
          <w:szCs w:val="24"/>
        </w:rPr>
      </w:pPr>
    </w:p>
    <w:p w:rsidR="002B1B95" w:rsidP="00C33FE4" w14:paraId="3CD44C81" w14:textId="77777777">
      <w:pPr>
        <w:spacing w:line="480" w:lineRule="auto"/>
        <w:rPr>
          <w:rFonts w:ascii="Times New Roman" w:hAnsi="Times New Roman" w:cs="Times New Roman"/>
          <w:sz w:val="24"/>
          <w:szCs w:val="24"/>
        </w:rPr>
      </w:pPr>
    </w:p>
    <w:p w:rsidR="002B1B95" w:rsidP="00C33FE4" w14:paraId="6064F6E5" w14:textId="77777777">
      <w:pPr>
        <w:spacing w:line="480" w:lineRule="auto"/>
        <w:rPr>
          <w:rFonts w:ascii="Times New Roman" w:hAnsi="Times New Roman" w:cs="Times New Roman"/>
          <w:sz w:val="24"/>
          <w:szCs w:val="24"/>
        </w:rPr>
      </w:pPr>
    </w:p>
    <w:p w:rsidR="00DD023E" w14:paraId="765C6D2B" w14:textId="7777777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2B1B95" w:rsidP="002B1B95" w14:paraId="4EFB007E" w14:textId="4AE961DE">
      <w:pPr>
        <w:spacing w:line="480" w:lineRule="auto"/>
        <w:jc w:val="center"/>
        <w:rPr>
          <w:rFonts w:ascii="Times New Roman" w:hAnsi="Times New Roman" w:cs="Times New Roman"/>
          <w:sz w:val="24"/>
          <w:szCs w:val="24"/>
        </w:rPr>
      </w:pPr>
      <w:r w:rsidRPr="002B1B95">
        <w:rPr>
          <w:rFonts w:ascii="Times New Roman" w:hAnsi="Times New Roman" w:cs="Times New Roman"/>
          <w:color w:val="222222"/>
          <w:sz w:val="24"/>
          <w:szCs w:val="24"/>
          <w:shd w:val="clear" w:color="auto" w:fill="FFFFFF"/>
        </w:rPr>
        <w:t>Staffing Turnover</w:t>
      </w:r>
    </w:p>
    <w:p w:rsidR="00C33FE4" w:rsidRPr="00C33FE4" w:rsidP="002B1B95" w14:paraId="4C116BE3" w14:textId="758EB2BB">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 xml:space="preserve">Staffing cost refers to salaries and benefits associated with the payment of employees. Such costs include salaries, wages, commissions, an employer match of taxes like the Medicare and social security, pensions, and premiums paid by the employer as well as other costs related to all fringe benefits. Staffing costs are often the most significant expenses, and it is believed to be among the most significant mistake beginners do by underestimating the value of </w:t>
      </w:r>
      <w:r w:rsidR="002B1B95">
        <w:rPr>
          <w:rFonts w:ascii="Times New Roman" w:hAnsi="Times New Roman" w:cs="Times New Roman"/>
          <w:sz w:val="24"/>
          <w:szCs w:val="24"/>
        </w:rPr>
        <w:t xml:space="preserve">its </w:t>
      </w:r>
      <w:r w:rsidRPr="00C33FE4">
        <w:rPr>
          <w:rFonts w:ascii="Times New Roman" w:hAnsi="Times New Roman" w:cs="Times New Roman"/>
          <w:sz w:val="24"/>
          <w:szCs w:val="24"/>
        </w:rPr>
        <w:t>cost</w:t>
      </w:r>
      <w:r w:rsidR="002B1B95">
        <w:rPr>
          <w:rFonts w:ascii="Times New Roman" w:hAnsi="Times New Roman" w:cs="Times New Roman"/>
          <w:sz w:val="24"/>
          <w:szCs w:val="24"/>
        </w:rPr>
        <w:t>s</w:t>
      </w:r>
      <w:r w:rsidRPr="00C33FE4">
        <w:rPr>
          <w:rFonts w:ascii="Times New Roman" w:hAnsi="Times New Roman" w:cs="Times New Roman"/>
          <w:sz w:val="24"/>
          <w:szCs w:val="24"/>
        </w:rPr>
        <w:t xml:space="preserve">. Having a better understanding of staffing costs can create a substantial difference for a company by transforming a healthy profit or hardly breaking in the lousy scenario. It is worth noting that staffing costs are not only limited </w:t>
      </w:r>
      <w:r w:rsidR="002B1B95">
        <w:rPr>
          <w:rFonts w:ascii="Times New Roman" w:hAnsi="Times New Roman" w:cs="Times New Roman"/>
          <w:sz w:val="24"/>
          <w:szCs w:val="24"/>
        </w:rPr>
        <w:t xml:space="preserve">to </w:t>
      </w:r>
      <w:r w:rsidRPr="00C33FE4">
        <w:rPr>
          <w:rFonts w:ascii="Times New Roman" w:hAnsi="Times New Roman" w:cs="Times New Roman"/>
          <w:sz w:val="24"/>
          <w:szCs w:val="24"/>
        </w:rPr>
        <w:t xml:space="preserve">salary payments; many other relevant expenses are considered to </w:t>
      </w:r>
      <w:r w:rsidR="002B1B95">
        <w:rPr>
          <w:rFonts w:ascii="Times New Roman" w:hAnsi="Times New Roman" w:cs="Times New Roman"/>
          <w:sz w:val="24"/>
          <w:szCs w:val="24"/>
        </w:rPr>
        <w:t xml:space="preserve">the </w:t>
      </w:r>
      <w:r w:rsidRPr="00C33FE4">
        <w:rPr>
          <w:rFonts w:ascii="Times New Roman" w:hAnsi="Times New Roman" w:cs="Times New Roman"/>
          <w:sz w:val="24"/>
          <w:szCs w:val="24"/>
        </w:rPr>
        <w:t>end</w:t>
      </w:r>
      <w:r w:rsidR="002B1B95">
        <w:rPr>
          <w:rFonts w:ascii="Times New Roman" w:hAnsi="Times New Roman" w:cs="Times New Roman"/>
          <w:sz w:val="24"/>
          <w:szCs w:val="24"/>
        </w:rPr>
        <w:t xml:space="preserve"> and</w:t>
      </w:r>
      <w:r w:rsidRPr="00C33FE4">
        <w:rPr>
          <w:rFonts w:ascii="Times New Roman" w:hAnsi="Times New Roman" w:cs="Times New Roman"/>
          <w:sz w:val="24"/>
          <w:szCs w:val="24"/>
        </w:rPr>
        <w:t xml:space="preserve"> they must also be factored. Sung &amp; Choi (2014) </w:t>
      </w:r>
      <w:r w:rsidR="002B1B95">
        <w:rPr>
          <w:rFonts w:ascii="Times New Roman" w:hAnsi="Times New Roman" w:cs="Times New Roman"/>
          <w:sz w:val="24"/>
          <w:szCs w:val="24"/>
        </w:rPr>
        <w:t>name</w:t>
      </w:r>
      <w:r w:rsidRPr="00C33FE4">
        <w:rPr>
          <w:rFonts w:ascii="Times New Roman" w:hAnsi="Times New Roman" w:cs="Times New Roman"/>
          <w:sz w:val="24"/>
          <w:szCs w:val="24"/>
        </w:rPr>
        <w:t xml:space="preserve"> these expenses </w:t>
      </w:r>
      <w:r w:rsidR="002B1B95">
        <w:rPr>
          <w:rFonts w:ascii="Times New Roman" w:hAnsi="Times New Roman" w:cs="Times New Roman"/>
          <w:sz w:val="24"/>
          <w:szCs w:val="24"/>
        </w:rPr>
        <w:t>as</w:t>
      </w:r>
      <w:r w:rsidRPr="00C33FE4">
        <w:rPr>
          <w:rFonts w:ascii="Times New Roman" w:hAnsi="Times New Roman" w:cs="Times New Roman"/>
          <w:sz w:val="24"/>
          <w:szCs w:val="24"/>
        </w:rPr>
        <w:t xml:space="preserve"> healthcare costs, holiday pay, HR expenses, maternity and paternity pay, sick pay, travel expenses, social security payments, and pension contributions. This paper explores financial costs related to staffing, including costs involving training, turnover, and recruitment concerning the Kingdom of Saudi Arabia. </w:t>
      </w:r>
    </w:p>
    <w:p w:rsidR="00C33FE4" w:rsidRPr="002B1B95" w:rsidP="002B1B95" w14:paraId="5364B31A" w14:textId="05C3E88E">
      <w:pPr>
        <w:spacing w:line="480" w:lineRule="auto"/>
        <w:jc w:val="center"/>
        <w:rPr>
          <w:rFonts w:ascii="Times New Roman" w:hAnsi="Times New Roman" w:cs="Times New Roman"/>
          <w:b/>
          <w:bCs/>
          <w:sz w:val="24"/>
          <w:szCs w:val="24"/>
        </w:rPr>
      </w:pPr>
      <w:r w:rsidRPr="002B1B95">
        <w:rPr>
          <w:rFonts w:ascii="Times New Roman" w:hAnsi="Times New Roman" w:cs="Times New Roman"/>
          <w:b/>
          <w:bCs/>
          <w:sz w:val="24"/>
          <w:szCs w:val="24"/>
        </w:rPr>
        <w:t xml:space="preserve">Training </w:t>
      </w:r>
      <w:r w:rsidR="002B1B95">
        <w:rPr>
          <w:rFonts w:ascii="Times New Roman" w:hAnsi="Times New Roman" w:cs="Times New Roman"/>
          <w:b/>
          <w:bCs/>
          <w:sz w:val="24"/>
          <w:szCs w:val="24"/>
        </w:rPr>
        <w:t>Costs</w:t>
      </w:r>
    </w:p>
    <w:p w:rsidR="00C33FE4" w:rsidRPr="00C33FE4" w:rsidP="002B1B95" w14:paraId="5937E095" w14:textId="76520AB5">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 xml:space="preserve">Hiring a new employee comes at a cost because the company’s newly hired employees will undoubtedly need significant training for the effective delivery of responsibilities (Sung &amp; Choi, 2014). The cost </w:t>
      </w:r>
      <w:r w:rsidR="002B1B95">
        <w:rPr>
          <w:rFonts w:ascii="Times New Roman" w:hAnsi="Times New Roman" w:cs="Times New Roman"/>
          <w:sz w:val="24"/>
          <w:szCs w:val="24"/>
        </w:rPr>
        <w:t xml:space="preserve">of </w:t>
      </w:r>
      <w:r w:rsidRPr="00C33FE4">
        <w:rPr>
          <w:rFonts w:ascii="Times New Roman" w:hAnsi="Times New Roman" w:cs="Times New Roman"/>
          <w:sz w:val="24"/>
          <w:szCs w:val="24"/>
        </w:rPr>
        <w:t>training varies from one organization to another depending on the scope of the job; the organization, for instance, may need to offer special instructions, mostly if the company’s business runs in the highly susceptible industry such as construction. Furthermore, other training costs tax-deductible. However, to the very least scenario, the organizational trainers, as well as the trainees, will mov</w:t>
      </w:r>
      <w:r w:rsidR="006E2852">
        <w:rPr>
          <w:rFonts w:ascii="Times New Roman" w:hAnsi="Times New Roman" w:cs="Times New Roman"/>
          <w:sz w:val="24"/>
          <w:szCs w:val="24"/>
        </w:rPr>
        <w:t>e</w:t>
      </w:r>
      <w:r w:rsidRPr="00C33FE4">
        <w:rPr>
          <w:rFonts w:ascii="Times New Roman" w:hAnsi="Times New Roman" w:cs="Times New Roman"/>
          <w:sz w:val="24"/>
          <w:szCs w:val="24"/>
        </w:rPr>
        <w:t xml:space="preserve"> away from a </w:t>
      </w:r>
      <w:r w:rsidR="006E2852">
        <w:rPr>
          <w:rFonts w:ascii="Times New Roman" w:hAnsi="Times New Roman" w:cs="Times New Roman"/>
          <w:sz w:val="24"/>
          <w:szCs w:val="24"/>
        </w:rPr>
        <w:t>normal</w:t>
      </w:r>
      <w:r w:rsidRPr="00C33FE4">
        <w:rPr>
          <w:rFonts w:ascii="Times New Roman" w:hAnsi="Times New Roman" w:cs="Times New Roman"/>
          <w:sz w:val="24"/>
          <w:szCs w:val="24"/>
        </w:rPr>
        <w:t xml:space="preserve"> work environment for a given period so that to bring the hired employee to speed. </w:t>
      </w:r>
    </w:p>
    <w:p w:rsidR="00C33FE4" w:rsidRPr="00C33FE4" w:rsidP="002B1B95" w14:paraId="4FAFA2CC" w14:textId="600C0FEB">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Various factors determine the organizational cost of training a new employee</w:t>
      </w:r>
      <w:r w:rsidR="006E2852">
        <w:rPr>
          <w:rFonts w:ascii="Times New Roman" w:hAnsi="Times New Roman" w:cs="Times New Roman"/>
          <w:sz w:val="24"/>
          <w:szCs w:val="24"/>
        </w:rPr>
        <w:t xml:space="preserve"> which</w:t>
      </w:r>
      <w:r w:rsidRPr="00C33FE4">
        <w:rPr>
          <w:rFonts w:ascii="Times New Roman" w:hAnsi="Times New Roman" w:cs="Times New Roman"/>
          <w:sz w:val="24"/>
          <w:szCs w:val="24"/>
        </w:rPr>
        <w:t xml:space="preserve"> includes business size, industry, skill sets, training method, equipment, </w:t>
      </w:r>
      <w:r w:rsidR="006E2852">
        <w:rPr>
          <w:rFonts w:ascii="Times New Roman" w:hAnsi="Times New Roman" w:cs="Times New Roman"/>
          <w:sz w:val="24"/>
          <w:szCs w:val="24"/>
        </w:rPr>
        <w:t xml:space="preserve">and </w:t>
      </w:r>
      <w:r w:rsidRPr="00C33FE4">
        <w:rPr>
          <w:rFonts w:ascii="Times New Roman" w:hAnsi="Times New Roman" w:cs="Times New Roman"/>
          <w:sz w:val="24"/>
          <w:szCs w:val="24"/>
        </w:rPr>
        <w:t>productivity loss. Business size has a significant effect on the amount a company will incur on training new employees. Large corporations spend much money</w:t>
      </w:r>
      <w:r w:rsidR="006E2852">
        <w:rPr>
          <w:rFonts w:ascii="Times New Roman" w:hAnsi="Times New Roman" w:cs="Times New Roman"/>
          <w:sz w:val="24"/>
          <w:szCs w:val="24"/>
        </w:rPr>
        <w:t xml:space="preserve"> on</w:t>
      </w:r>
      <w:r w:rsidRPr="00C33FE4">
        <w:rPr>
          <w:rFonts w:ascii="Times New Roman" w:hAnsi="Times New Roman" w:cs="Times New Roman"/>
          <w:sz w:val="24"/>
          <w:szCs w:val="24"/>
        </w:rPr>
        <w:t xml:space="preserve"> training than small businesses use on training their employees. The cost of training employees varies according to the type of industry. For instance, training receptionists is not the same as training and dangerous, like training materials removal employee. The set of skills required also determines the training costs. Depending on the set of skills needed, some trainees will grasp some skills quicker than others (Sung &amp; Choi, 2014). Employees learn and work at a different pace.</w:t>
      </w:r>
    </w:p>
    <w:p w:rsidR="00C33FE4" w:rsidRPr="00C33FE4" w:rsidP="002B1B95" w14:paraId="200550D1" w14:textId="0E04D82F">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 xml:space="preserve">Additionally, the method used in training also significantly determines the cost of training. Training methods include simulations, on job training, technology-centered training, and classroom style of training. Equipment used in training is a critical factor in </w:t>
      </w:r>
      <w:r w:rsidR="006E2852">
        <w:rPr>
          <w:rFonts w:ascii="Times New Roman" w:hAnsi="Times New Roman" w:cs="Times New Roman"/>
          <w:sz w:val="24"/>
          <w:szCs w:val="24"/>
        </w:rPr>
        <w:t xml:space="preserve">determining </w:t>
      </w:r>
      <w:r w:rsidRPr="00C33FE4">
        <w:rPr>
          <w:rFonts w:ascii="Times New Roman" w:hAnsi="Times New Roman" w:cs="Times New Roman"/>
          <w:sz w:val="24"/>
          <w:szCs w:val="24"/>
        </w:rPr>
        <w:t xml:space="preserve">training costs. For example, training in technology will require videos and the use of computer programs. </w:t>
      </w:r>
    </w:p>
    <w:p w:rsidR="00C33FE4" w:rsidRPr="00C33FE4" w:rsidP="00DD023E" w14:paraId="7E6FDEBE" w14:textId="2BD7FA5D">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Keeping actual records of a company’s expenses is essential in calculating the training costs of training per employee. The highest costs that an organization must keep for future determination of training cost per employee are training equipment and materials, payment for outside assistance such as lecturers, and loss of productivity like money incurred on tr</w:t>
      </w:r>
      <w:r w:rsidR="00E161AA">
        <w:rPr>
          <w:rFonts w:ascii="Times New Roman" w:hAnsi="Times New Roman" w:cs="Times New Roman"/>
          <w:sz w:val="24"/>
          <w:szCs w:val="24"/>
        </w:rPr>
        <w:t>aining. To determine the cost incurred in</w:t>
      </w:r>
      <w:r w:rsidRPr="00C33FE4">
        <w:rPr>
          <w:rFonts w:ascii="Times New Roman" w:hAnsi="Times New Roman" w:cs="Times New Roman"/>
          <w:sz w:val="24"/>
          <w:szCs w:val="24"/>
        </w:rPr>
        <w:t xml:space="preserve"> training employees for one year, a business should sum up all its training costs </w:t>
      </w:r>
      <w:r w:rsidR="00E161AA">
        <w:rPr>
          <w:rFonts w:ascii="Times New Roman" w:hAnsi="Times New Roman" w:cs="Times New Roman"/>
          <w:sz w:val="24"/>
          <w:szCs w:val="24"/>
        </w:rPr>
        <w:t xml:space="preserve">over </w:t>
      </w:r>
      <w:r w:rsidRPr="00C33FE4">
        <w:rPr>
          <w:rFonts w:ascii="Times New Roman" w:hAnsi="Times New Roman" w:cs="Times New Roman"/>
          <w:sz w:val="24"/>
          <w:szCs w:val="24"/>
        </w:rPr>
        <w:t>the number of newly hired employees. The same procedure can be utilized per month</w:t>
      </w:r>
      <w:bookmarkStart w:id="0" w:name="_GoBack"/>
      <w:bookmarkEnd w:id="0"/>
      <w:r w:rsidR="00DD023E">
        <w:rPr>
          <w:rFonts w:ascii="Times New Roman" w:hAnsi="Times New Roman" w:cs="Times New Roman"/>
          <w:sz w:val="24"/>
          <w:szCs w:val="24"/>
        </w:rPr>
        <w:t xml:space="preserve">. </w:t>
      </w:r>
      <w:r w:rsidRPr="00C33FE4">
        <w:rPr>
          <w:rFonts w:ascii="Times New Roman" w:hAnsi="Times New Roman" w:cs="Times New Roman"/>
          <w:sz w:val="24"/>
          <w:szCs w:val="24"/>
        </w:rPr>
        <w:t xml:space="preserve">Successful training of employees is beneficial to the business as it can trigger increased revenues for the company. Furthermore, training employees improves the retention of employees. </w:t>
      </w:r>
    </w:p>
    <w:p w:rsidR="00C33FE4" w:rsidRPr="002B1B95" w:rsidP="002B1B95" w14:paraId="24C12B97" w14:textId="47F79A19">
      <w:pPr>
        <w:spacing w:line="480" w:lineRule="auto"/>
        <w:jc w:val="center"/>
        <w:rPr>
          <w:rFonts w:ascii="Times New Roman" w:hAnsi="Times New Roman" w:cs="Times New Roman"/>
          <w:b/>
          <w:bCs/>
          <w:sz w:val="24"/>
          <w:szCs w:val="24"/>
        </w:rPr>
      </w:pPr>
      <w:r w:rsidRPr="002B1B95">
        <w:rPr>
          <w:rFonts w:ascii="Times New Roman" w:hAnsi="Times New Roman" w:cs="Times New Roman"/>
          <w:b/>
          <w:bCs/>
          <w:sz w:val="24"/>
          <w:szCs w:val="24"/>
        </w:rPr>
        <w:t xml:space="preserve">Recruitment </w:t>
      </w:r>
      <w:r w:rsidRPr="002B1B95" w:rsidR="002B1B95">
        <w:rPr>
          <w:rFonts w:ascii="Times New Roman" w:hAnsi="Times New Roman" w:cs="Times New Roman"/>
          <w:b/>
          <w:bCs/>
          <w:sz w:val="24"/>
          <w:szCs w:val="24"/>
        </w:rPr>
        <w:t>Costs</w:t>
      </w:r>
    </w:p>
    <w:p w:rsidR="00C33FE4" w:rsidRPr="00C33FE4" w:rsidP="002B1B95" w14:paraId="21B21068" w14:textId="2B2A05AC">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Recruitment costs vary by region and industry. There are various personal costs incurred during the process of recruiting includ</w:t>
      </w:r>
      <w:r w:rsidR="006E2852">
        <w:rPr>
          <w:rFonts w:ascii="Times New Roman" w:hAnsi="Times New Roman" w:cs="Times New Roman"/>
          <w:sz w:val="24"/>
          <w:szCs w:val="24"/>
        </w:rPr>
        <w:t>ing</w:t>
      </w:r>
      <w:r w:rsidRPr="00C33FE4">
        <w:rPr>
          <w:rFonts w:ascii="Times New Roman" w:hAnsi="Times New Roman" w:cs="Times New Roman"/>
          <w:sz w:val="24"/>
          <w:szCs w:val="24"/>
        </w:rPr>
        <w:t xml:space="preserve"> the cost of advertising, travel expenses, in-house recruiters’ wages, sign-on bonuses, third party recruiter fees as well as employee referral bonuses. For some high-level jobs, an organization may incur employee relocation costs. It is important to note that the cost incurred in hiring a highly experienced employee is much more than the general effect and cost of making a wrong hire. If a new employee does not fit the requirements of the businesses and ends after a short time, then the business may and incurring extra costs such as the cost to hire and train a replacement and the lost and unproductive time (Derous &amp; De Fruyt, 2016). </w:t>
      </w:r>
    </w:p>
    <w:p w:rsidR="00C33FE4" w:rsidRPr="00C33FE4" w:rsidP="002B1B95" w14:paraId="472C235F" w14:textId="77777777">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 xml:space="preserve">The cost of hiring a new employee is determined by considering various factors, such as defining the position based on the salaries and time of HR staff and hiring team members. Advertising the position on job posting boards, job fairs, and employee referral bonuses, initial screening, test scheduling, utilizing a recruitment firm, and telephone interview scheduling significantly determine how much a company may spend on recruitment. Hiring costs are also evaluated by looking at the selection costs. According to Derous &amp; De Fruyt, (2016) the selection costs come in after the identification of the candidates to recruit, and they include interview planning, tests, interviews, telephone interviews, assessment and decisions, negotiation with candidate, security checks, reference checks, job offer, and reference checks. </w:t>
      </w:r>
    </w:p>
    <w:p w:rsidR="00C33FE4" w:rsidRPr="00C33FE4" w:rsidP="002B1B95" w14:paraId="0355D932" w14:textId="67184331">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 xml:space="preserve">Other than the aforementioned costs related to recruiting new employees, the time of hiring procedure comes with the loss of productivity for all the personnel participating in the hiring and selecting the new employee. Members of the hiring </w:t>
      </w:r>
      <w:r w:rsidR="006E2852">
        <w:rPr>
          <w:rFonts w:ascii="Times New Roman" w:hAnsi="Times New Roman" w:cs="Times New Roman"/>
          <w:sz w:val="24"/>
          <w:szCs w:val="24"/>
        </w:rPr>
        <w:t xml:space="preserve">team </w:t>
      </w:r>
      <w:r w:rsidRPr="00C33FE4">
        <w:rPr>
          <w:rFonts w:ascii="Times New Roman" w:hAnsi="Times New Roman" w:cs="Times New Roman"/>
          <w:sz w:val="24"/>
          <w:szCs w:val="24"/>
        </w:rPr>
        <w:t xml:space="preserve">will have to forego their normal duties to accomplish everything related to recruiting new employees, and this often costs </w:t>
      </w:r>
      <w:r w:rsidRPr="00C33FE4">
        <w:rPr>
          <w:rFonts w:ascii="Times New Roman" w:hAnsi="Times New Roman" w:cs="Times New Roman"/>
          <w:sz w:val="24"/>
          <w:szCs w:val="24"/>
        </w:rPr>
        <w:t xml:space="preserve">businesses in terms of lost revenue. Additionally, when the position of a given employee stays vacant for long, it may end up costing the business concerning overtime for missed opportunities and existing staff. The salaries of employees form the most significant portion of a business hiring, and this increases in terms of length of period it takes to achieve a process. The longer the hiring process, the higher the cost of hiring. </w:t>
      </w:r>
    </w:p>
    <w:p w:rsidR="00C33FE4" w:rsidRPr="00C33FE4" w:rsidP="002B1B95" w14:paraId="0F79F2F0" w14:textId="77777777">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 xml:space="preserve">The average cost per recruitment is determined by the total amount the business spend in hiring yearly divided by the overall number of recruitments made that year. Various researches indicate that the benchmark numerator for an average cost to recruit is approximately $4000. Still, it can be as low as around $1000 for a job service at entry-level, and in professional settings, it often tops $5000.  </w:t>
      </w:r>
    </w:p>
    <w:p w:rsidR="00C33FE4" w:rsidRPr="002B1B95" w:rsidP="002B1B95" w14:paraId="54699543" w14:textId="3E8F311F">
      <w:pPr>
        <w:spacing w:line="480" w:lineRule="auto"/>
        <w:jc w:val="center"/>
        <w:rPr>
          <w:rFonts w:ascii="Times New Roman" w:hAnsi="Times New Roman" w:cs="Times New Roman"/>
          <w:b/>
          <w:bCs/>
          <w:sz w:val="24"/>
          <w:szCs w:val="24"/>
        </w:rPr>
      </w:pPr>
      <w:r w:rsidRPr="002B1B95">
        <w:rPr>
          <w:rFonts w:ascii="Times New Roman" w:hAnsi="Times New Roman" w:cs="Times New Roman"/>
          <w:b/>
          <w:bCs/>
          <w:sz w:val="24"/>
          <w:szCs w:val="24"/>
        </w:rPr>
        <w:t xml:space="preserve">Employee </w:t>
      </w:r>
      <w:r w:rsidRPr="002B1B95" w:rsidR="002B1B95">
        <w:rPr>
          <w:rFonts w:ascii="Times New Roman" w:hAnsi="Times New Roman" w:cs="Times New Roman"/>
          <w:b/>
          <w:bCs/>
          <w:sz w:val="24"/>
          <w:szCs w:val="24"/>
        </w:rPr>
        <w:t>Turnover Costs</w:t>
      </w:r>
    </w:p>
    <w:p w:rsidR="00C33FE4" w:rsidRPr="00C33FE4" w:rsidP="002B1B95" w14:paraId="71900E64" w14:textId="77777777">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 xml:space="preserve">Basically, employee turnover is often expressed as a ratio, and it is evaluated annually; therefore, this means that it is the number of employees who departed the company throughout the year divided by the total number of workers at the start of the year. Employee turnover cost is often described as the cost to hire a substitute worker and train that new employee. Mostly, the costs of training count that productivity of the employee, but the right way should involve acquiring the new employee in equal measure of productivity that the business was getting from the employee who left the organization. The general training costs entail both direct costs such as the money paid to a recruiter to identify the candidates for the business and the indirect cost like the lost businesses because the company could not operate it when it was experiencing insufficient staff. </w:t>
      </w:r>
    </w:p>
    <w:p w:rsidR="00C33FE4" w:rsidRPr="00C33FE4" w:rsidP="002B1B95" w14:paraId="3E85177A" w14:textId="59A489C7">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 xml:space="preserve">Generally, employee turnover exists upon the termination of employment relationships. Employee turnover can exist because of attrition, which is defined as the end job relationship because of employee death, retirement, or job elimination and is usually differentiated from turnover because when attrition takes place, there is often no substitute for the position (Memon et al., 2014). Employee termination due to </w:t>
      </w:r>
      <w:r w:rsidR="006E2852">
        <w:rPr>
          <w:rFonts w:ascii="Times New Roman" w:hAnsi="Times New Roman" w:cs="Times New Roman"/>
          <w:sz w:val="24"/>
          <w:szCs w:val="24"/>
        </w:rPr>
        <w:t xml:space="preserve">policy </w:t>
      </w:r>
      <w:r w:rsidRPr="00C33FE4">
        <w:rPr>
          <w:rFonts w:ascii="Times New Roman" w:hAnsi="Times New Roman" w:cs="Times New Roman"/>
          <w:sz w:val="24"/>
          <w:szCs w:val="24"/>
        </w:rPr>
        <w:t xml:space="preserve">violation, absenteeism, or poor job performance of workplace regulations is known as involuntary turnover, commonly referred to as discharge, firing, or dismissal. It is described as unintentional since it was not the decision of the employee to exit the company. Involuntary terminations include layoffs through layoff processes usually are tackled differently from </w:t>
      </w:r>
      <w:r w:rsidR="006E2852">
        <w:rPr>
          <w:rFonts w:ascii="Times New Roman" w:hAnsi="Times New Roman" w:cs="Times New Roman"/>
          <w:sz w:val="24"/>
          <w:szCs w:val="24"/>
        </w:rPr>
        <w:t>termination</w:t>
      </w:r>
      <w:r w:rsidRPr="00C33FE4">
        <w:rPr>
          <w:rFonts w:ascii="Times New Roman" w:hAnsi="Times New Roman" w:cs="Times New Roman"/>
          <w:sz w:val="24"/>
          <w:szCs w:val="24"/>
        </w:rPr>
        <w:t xml:space="preserve">. Some layoffs come with specific state and federal provisions that are not meant for employees whose contracts are terminated due to violation of contract policy. </w:t>
      </w:r>
    </w:p>
    <w:p w:rsidR="00C33FE4" w:rsidRPr="00C33FE4" w:rsidP="002B1B95" w14:paraId="12E2749F" w14:textId="3639FBD2">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 xml:space="preserve">Voluntary employee turnover is defined as a scenario whereby an employee leaves an organization on his or her own volition. An employee can give several reasons for exiting a job. They may leave their job to go for another company, move to a new area, </w:t>
      </w:r>
      <w:r w:rsidR="006E2852">
        <w:rPr>
          <w:rFonts w:ascii="Times New Roman" w:hAnsi="Times New Roman" w:cs="Times New Roman"/>
          <w:sz w:val="24"/>
          <w:szCs w:val="24"/>
        </w:rPr>
        <w:t xml:space="preserve">or </w:t>
      </w:r>
      <w:r w:rsidRPr="00C33FE4">
        <w:rPr>
          <w:rFonts w:ascii="Times New Roman" w:hAnsi="Times New Roman" w:cs="Times New Roman"/>
          <w:sz w:val="24"/>
          <w:szCs w:val="24"/>
        </w:rPr>
        <w:t>addressing personal problems that make it hard to double deal the job. When a worker leaves a job on volition the job relationship, often they give notice either in a written or verbal form to resign from his or her current position. Another form of turnover is called desirable and undesirable turnover. Usually, turnover creates a negative connotation, but the turnover itself is not a ne</w:t>
      </w:r>
      <w:r w:rsidR="00DD023E">
        <w:rPr>
          <w:rFonts w:ascii="Times New Roman" w:hAnsi="Times New Roman" w:cs="Times New Roman"/>
          <w:sz w:val="24"/>
          <w:szCs w:val="24"/>
        </w:rPr>
        <w:t xml:space="preserve">gative occurrence. </w:t>
      </w:r>
      <w:r w:rsidR="00DD023E">
        <w:rPr>
          <w:rFonts w:ascii="Times New Roman" w:hAnsi="Times New Roman" w:cs="Times New Roman"/>
          <w:sz w:val="24"/>
          <w:szCs w:val="24"/>
        </w:rPr>
        <w:t>Memon</w:t>
      </w:r>
      <w:r w:rsidR="00DD023E">
        <w:rPr>
          <w:rFonts w:ascii="Times New Roman" w:hAnsi="Times New Roman" w:cs="Times New Roman"/>
          <w:sz w:val="24"/>
          <w:szCs w:val="24"/>
        </w:rPr>
        <w:t xml:space="preserve"> et al.</w:t>
      </w:r>
      <w:r w:rsidRPr="00C33FE4">
        <w:rPr>
          <w:rFonts w:ascii="Times New Roman" w:hAnsi="Times New Roman" w:cs="Times New Roman"/>
          <w:sz w:val="24"/>
          <w:szCs w:val="24"/>
        </w:rPr>
        <w:t xml:space="preserve"> (2014) agree that desirable turnover happens when the performance of a given employee falls below the expected standards. As a result, he is substituted by another worker whose expectations meet the company’s standards. It is considered to be desirable due to tardiness, absenteeism, and job performance becomes expensive for the company forcing the organization to replace the poor performer who executes his or her job to </w:t>
      </w:r>
      <w:r w:rsidRPr="00C33FE4">
        <w:rPr>
          <w:rFonts w:ascii="Times New Roman" w:hAnsi="Times New Roman" w:cs="Times New Roman"/>
          <w:sz w:val="24"/>
          <w:szCs w:val="24"/>
        </w:rPr>
        <w:t xml:space="preserve">improve the profitability scale of the company. So, desirable turnover happens when substituting </w:t>
      </w:r>
      <w:r w:rsidRPr="00C33FE4" w:rsidR="006E2852">
        <w:rPr>
          <w:rFonts w:ascii="Times New Roman" w:hAnsi="Times New Roman" w:cs="Times New Roman"/>
          <w:sz w:val="24"/>
          <w:szCs w:val="24"/>
        </w:rPr>
        <w:t xml:space="preserve">employees </w:t>
      </w:r>
      <w:r w:rsidR="006E2852">
        <w:rPr>
          <w:rFonts w:ascii="Times New Roman" w:hAnsi="Times New Roman" w:cs="Times New Roman"/>
          <w:sz w:val="24"/>
          <w:szCs w:val="24"/>
        </w:rPr>
        <w:t>which</w:t>
      </w:r>
      <w:r w:rsidRPr="00C33FE4">
        <w:rPr>
          <w:rFonts w:ascii="Times New Roman" w:hAnsi="Times New Roman" w:cs="Times New Roman"/>
          <w:sz w:val="24"/>
          <w:szCs w:val="24"/>
        </w:rPr>
        <w:t xml:space="preserve"> l</w:t>
      </w:r>
      <w:r w:rsidR="006E2852">
        <w:rPr>
          <w:rFonts w:ascii="Times New Roman" w:hAnsi="Times New Roman" w:cs="Times New Roman"/>
          <w:sz w:val="24"/>
          <w:szCs w:val="24"/>
        </w:rPr>
        <w:t>e</w:t>
      </w:r>
      <w:r w:rsidRPr="00C33FE4">
        <w:rPr>
          <w:rFonts w:ascii="Times New Roman" w:hAnsi="Times New Roman" w:cs="Times New Roman"/>
          <w:sz w:val="24"/>
          <w:szCs w:val="24"/>
        </w:rPr>
        <w:t>ads to the hiring of new skills and talent that spark</w:t>
      </w:r>
      <w:r w:rsidR="006E2852">
        <w:rPr>
          <w:rFonts w:ascii="Times New Roman" w:hAnsi="Times New Roman" w:cs="Times New Roman"/>
          <w:sz w:val="24"/>
          <w:szCs w:val="24"/>
        </w:rPr>
        <w:t>s</w:t>
      </w:r>
      <w:r w:rsidRPr="00C33FE4">
        <w:rPr>
          <w:rFonts w:ascii="Times New Roman" w:hAnsi="Times New Roman" w:cs="Times New Roman"/>
          <w:sz w:val="24"/>
          <w:szCs w:val="24"/>
        </w:rPr>
        <w:t xml:space="preserve"> a competitive advantage to the organization. On the other hand, undesirable turnover implies that the business is losing workers whose qualifications, performance, and skills are priceless resources. </w:t>
      </w:r>
    </w:p>
    <w:p w:rsidR="00C33FE4" w:rsidRPr="00C33FE4" w:rsidP="002B1B95" w14:paraId="14A0AE50" w14:textId="77777777">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The necessary turnover calculations are imperatively simple. If a company hires 100 workers and the company fires 15 workers, then the company’s turnover will be 15%. Numerous organizations apply detailed computations to assess the turnover. For instance, assuming that five employees exit an organization during January, one employee quits in May, and four other employees leave in November. The rate of the company’s turnover will be 10%, and the approximated monthly turnover for such a company will be 8.3% (Sung &amp; Choi, 2014). Calculations for employee turnover can factor in various forms of turnover, including voluntary and involuntary or even more certain reasons explaining why the worker left the company like absenteeism, poor performance, or workers accepting new employment from other organizations. Turnover computations are significant in determining hiring costs, estimating staff time, and training requirements committed to hiring practices.</w:t>
      </w:r>
    </w:p>
    <w:p w:rsidR="00894C08" w:rsidRPr="00C33FE4" w:rsidP="002B1B95" w14:paraId="62ACF0E8" w14:textId="01515099">
      <w:pPr>
        <w:spacing w:line="480" w:lineRule="auto"/>
        <w:ind w:firstLine="720"/>
        <w:rPr>
          <w:rFonts w:ascii="Times New Roman" w:hAnsi="Times New Roman" w:cs="Times New Roman"/>
          <w:sz w:val="24"/>
          <w:szCs w:val="24"/>
        </w:rPr>
      </w:pPr>
      <w:r w:rsidRPr="00C33FE4">
        <w:rPr>
          <w:rFonts w:ascii="Times New Roman" w:hAnsi="Times New Roman" w:cs="Times New Roman"/>
          <w:sz w:val="24"/>
          <w:szCs w:val="24"/>
        </w:rPr>
        <w:t xml:space="preserve">In conclusion, </w:t>
      </w:r>
      <w:r w:rsidR="00DD023E">
        <w:rPr>
          <w:rFonts w:ascii="Times New Roman" w:hAnsi="Times New Roman" w:cs="Times New Roman"/>
          <w:sz w:val="24"/>
          <w:szCs w:val="24"/>
        </w:rPr>
        <w:t xml:space="preserve">having discussed </w:t>
      </w:r>
      <w:r w:rsidRPr="00C33FE4" w:rsidR="00DD023E">
        <w:rPr>
          <w:rFonts w:ascii="Times New Roman" w:hAnsi="Times New Roman" w:cs="Times New Roman"/>
          <w:sz w:val="24"/>
          <w:szCs w:val="24"/>
        </w:rPr>
        <w:t>fina</w:t>
      </w:r>
      <w:r w:rsidR="00DD023E">
        <w:rPr>
          <w:rFonts w:ascii="Times New Roman" w:hAnsi="Times New Roman" w:cs="Times New Roman"/>
          <w:sz w:val="24"/>
          <w:szCs w:val="24"/>
        </w:rPr>
        <w:t>ncial costs related to staffing</w:t>
      </w:r>
      <w:r w:rsidRPr="00C33FE4" w:rsidR="00DD023E">
        <w:rPr>
          <w:rFonts w:ascii="Times New Roman" w:hAnsi="Times New Roman" w:cs="Times New Roman"/>
          <w:sz w:val="24"/>
          <w:szCs w:val="24"/>
        </w:rPr>
        <w:t xml:space="preserve"> including costs involving training, turnover, and recruitment concerning the Kingdom of Saudi Arabia</w:t>
      </w:r>
      <w:r w:rsidR="00DD023E">
        <w:rPr>
          <w:rFonts w:ascii="Times New Roman" w:hAnsi="Times New Roman" w:cs="Times New Roman"/>
          <w:sz w:val="24"/>
          <w:szCs w:val="24"/>
        </w:rPr>
        <w:t xml:space="preserve">, it is clear that </w:t>
      </w:r>
      <w:r w:rsidRPr="00C33FE4">
        <w:rPr>
          <w:rFonts w:ascii="Times New Roman" w:hAnsi="Times New Roman" w:cs="Times New Roman"/>
          <w:sz w:val="24"/>
          <w:szCs w:val="24"/>
        </w:rPr>
        <w:t xml:space="preserve">organizations need to curb employee turnover since the high turnover of employees is a severe cost that can tarnish the smooth operations of a company. Employee turnover increases the value of services. The cost of training and recruiting new workers should often be kept low. Businesses should endeavor to maintain a stable employee relation because it is the potential for effective cutting of costs. Cost-cutting concerning staff is one of the most delicate practices of many businesses, and it calls for diligent implementation. Communication with workers is </w:t>
      </w:r>
      <w:r w:rsidRPr="00C33FE4">
        <w:rPr>
          <w:rFonts w:ascii="Times New Roman" w:hAnsi="Times New Roman" w:cs="Times New Roman"/>
          <w:sz w:val="24"/>
          <w:szCs w:val="24"/>
        </w:rPr>
        <w:t xml:space="preserve">fundamental, and they should be notified of every intention of the company to prevent destructive rumors as well as speculations among the employees. Those are the pillars of </w:t>
      </w:r>
      <w:r w:rsidR="006E2852">
        <w:rPr>
          <w:rFonts w:ascii="Times New Roman" w:hAnsi="Times New Roman" w:cs="Times New Roman"/>
          <w:sz w:val="24"/>
          <w:szCs w:val="24"/>
        </w:rPr>
        <w:t>providing</w:t>
      </w:r>
      <w:r w:rsidRPr="00C33FE4">
        <w:rPr>
          <w:rFonts w:ascii="Times New Roman" w:hAnsi="Times New Roman" w:cs="Times New Roman"/>
          <w:sz w:val="24"/>
          <w:szCs w:val="24"/>
        </w:rPr>
        <w:t xml:space="preserve"> high employee retention in a business. Prevention of employee turnover is critical because hiring new employees come with tax, benefits, and training</w:t>
      </w:r>
      <w:r w:rsidR="006E2852">
        <w:rPr>
          <w:rFonts w:ascii="Times New Roman" w:hAnsi="Times New Roman" w:cs="Times New Roman"/>
          <w:sz w:val="24"/>
          <w:szCs w:val="24"/>
        </w:rPr>
        <w:t xml:space="preserve"> which is usually expensive for any company</w:t>
      </w:r>
      <w:r w:rsidRPr="00C33FE4">
        <w:rPr>
          <w:rFonts w:ascii="Times New Roman" w:hAnsi="Times New Roman" w:cs="Times New Roman"/>
          <w:sz w:val="24"/>
          <w:szCs w:val="24"/>
        </w:rPr>
        <w:t xml:space="preserve">. </w:t>
      </w:r>
      <w:r w:rsidRPr="00C33FE4" w:rsidR="00DC4C4E">
        <w:rPr>
          <w:rFonts w:ascii="Times New Roman" w:hAnsi="Times New Roman" w:cs="Times New Roman"/>
          <w:sz w:val="24"/>
          <w:szCs w:val="24"/>
        </w:rPr>
        <w:t xml:space="preserve"> </w:t>
      </w:r>
    </w:p>
    <w:p w:rsidR="002B1B95" w:rsidP="002B1B95" w14:paraId="47DC45C4" w14:textId="77777777">
      <w:pPr>
        <w:spacing w:line="480" w:lineRule="auto"/>
        <w:jc w:val="center"/>
        <w:rPr>
          <w:rFonts w:ascii="Times New Roman" w:hAnsi="Times New Roman" w:cs="Times New Roman"/>
          <w:sz w:val="24"/>
          <w:szCs w:val="24"/>
        </w:rPr>
      </w:pPr>
    </w:p>
    <w:p w:rsidR="002B1B95" w:rsidP="002B1B95" w14:paraId="41C7504D" w14:textId="77777777">
      <w:pPr>
        <w:spacing w:line="480" w:lineRule="auto"/>
        <w:jc w:val="center"/>
        <w:rPr>
          <w:rFonts w:ascii="Times New Roman" w:hAnsi="Times New Roman" w:cs="Times New Roman"/>
          <w:sz w:val="24"/>
          <w:szCs w:val="24"/>
        </w:rPr>
      </w:pPr>
    </w:p>
    <w:p w:rsidR="002B1B95" w:rsidP="002B1B95" w14:paraId="0C0E7256" w14:textId="77777777">
      <w:pPr>
        <w:spacing w:line="480" w:lineRule="auto"/>
        <w:jc w:val="center"/>
        <w:rPr>
          <w:rFonts w:ascii="Times New Roman" w:hAnsi="Times New Roman" w:cs="Times New Roman"/>
          <w:sz w:val="24"/>
          <w:szCs w:val="24"/>
        </w:rPr>
      </w:pPr>
    </w:p>
    <w:p w:rsidR="002B1B95" w:rsidP="002B1B95" w14:paraId="6D7BD88F" w14:textId="77777777">
      <w:pPr>
        <w:spacing w:line="480" w:lineRule="auto"/>
        <w:jc w:val="center"/>
        <w:rPr>
          <w:rFonts w:ascii="Times New Roman" w:hAnsi="Times New Roman" w:cs="Times New Roman"/>
          <w:sz w:val="24"/>
          <w:szCs w:val="24"/>
        </w:rPr>
      </w:pPr>
    </w:p>
    <w:p w:rsidR="002B1B95" w:rsidP="002B1B95" w14:paraId="1D896FEB" w14:textId="77777777">
      <w:pPr>
        <w:spacing w:line="480" w:lineRule="auto"/>
        <w:jc w:val="center"/>
        <w:rPr>
          <w:rFonts w:ascii="Times New Roman" w:hAnsi="Times New Roman" w:cs="Times New Roman"/>
          <w:sz w:val="24"/>
          <w:szCs w:val="24"/>
        </w:rPr>
      </w:pPr>
    </w:p>
    <w:p w:rsidR="002B1B95" w:rsidP="002B1B95" w14:paraId="127710A2" w14:textId="77777777">
      <w:pPr>
        <w:spacing w:line="480" w:lineRule="auto"/>
        <w:jc w:val="center"/>
        <w:rPr>
          <w:rFonts w:ascii="Times New Roman" w:hAnsi="Times New Roman" w:cs="Times New Roman"/>
          <w:sz w:val="24"/>
          <w:szCs w:val="24"/>
        </w:rPr>
      </w:pPr>
    </w:p>
    <w:p w:rsidR="002B1B95" w:rsidP="002B1B95" w14:paraId="4E960028" w14:textId="77777777">
      <w:pPr>
        <w:spacing w:line="480" w:lineRule="auto"/>
        <w:jc w:val="center"/>
        <w:rPr>
          <w:rFonts w:ascii="Times New Roman" w:hAnsi="Times New Roman" w:cs="Times New Roman"/>
          <w:sz w:val="24"/>
          <w:szCs w:val="24"/>
        </w:rPr>
      </w:pPr>
    </w:p>
    <w:p w:rsidR="002B1B95" w:rsidP="002B1B95" w14:paraId="2F3C8103" w14:textId="77777777">
      <w:pPr>
        <w:spacing w:line="480" w:lineRule="auto"/>
        <w:jc w:val="center"/>
        <w:rPr>
          <w:rFonts w:ascii="Times New Roman" w:hAnsi="Times New Roman" w:cs="Times New Roman"/>
          <w:sz w:val="24"/>
          <w:szCs w:val="24"/>
        </w:rPr>
      </w:pPr>
    </w:p>
    <w:p w:rsidR="002B1B95" w:rsidP="002B1B95" w14:paraId="674AF54E" w14:textId="77777777">
      <w:pPr>
        <w:spacing w:line="480" w:lineRule="auto"/>
        <w:jc w:val="center"/>
        <w:rPr>
          <w:rFonts w:ascii="Times New Roman" w:hAnsi="Times New Roman" w:cs="Times New Roman"/>
          <w:sz w:val="24"/>
          <w:szCs w:val="24"/>
        </w:rPr>
      </w:pPr>
    </w:p>
    <w:p w:rsidR="002B1B95" w:rsidP="002B1B95" w14:paraId="577F1D9E" w14:textId="77777777">
      <w:pPr>
        <w:spacing w:line="480" w:lineRule="auto"/>
        <w:jc w:val="center"/>
        <w:rPr>
          <w:rFonts w:ascii="Times New Roman" w:hAnsi="Times New Roman" w:cs="Times New Roman"/>
          <w:sz w:val="24"/>
          <w:szCs w:val="24"/>
        </w:rPr>
      </w:pPr>
    </w:p>
    <w:p w:rsidR="002B1B95" w:rsidP="00DD023E" w14:paraId="58AE4F0D" w14:textId="77777777">
      <w:pPr>
        <w:spacing w:line="480" w:lineRule="auto"/>
        <w:rPr>
          <w:rFonts w:ascii="Times New Roman" w:hAnsi="Times New Roman" w:cs="Times New Roman"/>
          <w:sz w:val="24"/>
          <w:szCs w:val="24"/>
        </w:rPr>
      </w:pPr>
    </w:p>
    <w:p w:rsidR="00DD023E" w14:paraId="223F3C8F" w14:textId="77777777">
      <w:pPr>
        <w:rPr>
          <w:rFonts w:ascii="Times New Roman" w:hAnsi="Times New Roman" w:cs="Times New Roman"/>
          <w:sz w:val="24"/>
          <w:szCs w:val="24"/>
        </w:rPr>
      </w:pPr>
      <w:r>
        <w:rPr>
          <w:rFonts w:ascii="Times New Roman" w:hAnsi="Times New Roman" w:cs="Times New Roman"/>
          <w:sz w:val="24"/>
          <w:szCs w:val="24"/>
        </w:rPr>
        <w:br w:type="page"/>
      </w:r>
    </w:p>
    <w:p w:rsidR="002B1B95" w:rsidRPr="00C33FE4" w:rsidP="00DD023E" w14:paraId="165C7C9B" w14:textId="32528183">
      <w:pPr>
        <w:spacing w:line="480" w:lineRule="auto"/>
        <w:jc w:val="center"/>
        <w:rPr>
          <w:rFonts w:ascii="Times New Roman" w:hAnsi="Times New Roman" w:cs="Times New Roman"/>
          <w:sz w:val="24"/>
          <w:szCs w:val="24"/>
        </w:rPr>
      </w:pPr>
      <w:r w:rsidRPr="00C33FE4">
        <w:rPr>
          <w:rFonts w:ascii="Times New Roman" w:hAnsi="Times New Roman" w:cs="Times New Roman"/>
          <w:sz w:val="24"/>
          <w:szCs w:val="24"/>
        </w:rPr>
        <w:t>References</w:t>
      </w:r>
    </w:p>
    <w:p w:rsidR="002B1B95" w:rsidRPr="00C33FE4" w:rsidP="002B1B95" w14:paraId="75250F83" w14:textId="77777777">
      <w:pPr>
        <w:spacing w:line="480" w:lineRule="auto"/>
        <w:ind w:left="720" w:hanging="720"/>
        <w:rPr>
          <w:rFonts w:ascii="Times New Roman" w:hAnsi="Times New Roman" w:cs="Times New Roman"/>
          <w:color w:val="222222"/>
          <w:sz w:val="24"/>
          <w:szCs w:val="24"/>
          <w:shd w:val="clear" w:color="auto" w:fill="FFFFFF"/>
        </w:rPr>
      </w:pPr>
      <w:r w:rsidRPr="00C33FE4">
        <w:rPr>
          <w:rFonts w:ascii="Times New Roman" w:hAnsi="Times New Roman" w:cs="Times New Roman"/>
          <w:color w:val="222222"/>
          <w:sz w:val="24"/>
          <w:szCs w:val="24"/>
          <w:shd w:val="clear" w:color="auto" w:fill="FFFFFF"/>
        </w:rPr>
        <w:t>Derous, E., &amp; De Fruyt, F. (2016).</w:t>
      </w:r>
      <w:r w:rsidRPr="00C33FE4">
        <w:rPr>
          <w:rFonts w:ascii="Times New Roman" w:hAnsi="Times New Roman" w:cs="Times New Roman"/>
          <w:color w:val="222222"/>
          <w:sz w:val="24"/>
          <w:szCs w:val="24"/>
          <w:shd w:val="clear" w:color="auto" w:fill="FFFFFF"/>
        </w:rPr>
        <w:t xml:space="preserve"> Developments in recruitment and selection research. </w:t>
      </w:r>
      <w:r w:rsidRPr="00C33FE4">
        <w:rPr>
          <w:rFonts w:ascii="Times New Roman" w:hAnsi="Times New Roman" w:cs="Times New Roman"/>
          <w:i/>
          <w:iCs/>
          <w:color w:val="222222"/>
          <w:sz w:val="24"/>
          <w:szCs w:val="24"/>
          <w:shd w:val="clear" w:color="auto" w:fill="FFFFFF"/>
        </w:rPr>
        <w:t>International Journal of Selection and Assessment</w:t>
      </w:r>
      <w:r w:rsidRPr="00C33FE4">
        <w:rPr>
          <w:rFonts w:ascii="Times New Roman" w:hAnsi="Times New Roman" w:cs="Times New Roman"/>
          <w:color w:val="222222"/>
          <w:sz w:val="24"/>
          <w:szCs w:val="24"/>
          <w:shd w:val="clear" w:color="auto" w:fill="FFFFFF"/>
        </w:rPr>
        <w:t>, </w:t>
      </w:r>
      <w:r w:rsidRPr="00C33FE4">
        <w:rPr>
          <w:rFonts w:ascii="Times New Roman" w:hAnsi="Times New Roman" w:cs="Times New Roman"/>
          <w:i/>
          <w:iCs/>
          <w:color w:val="222222"/>
          <w:sz w:val="24"/>
          <w:szCs w:val="24"/>
          <w:shd w:val="clear" w:color="auto" w:fill="FFFFFF"/>
        </w:rPr>
        <w:t>24</w:t>
      </w:r>
      <w:r w:rsidRPr="00C33FE4">
        <w:rPr>
          <w:rFonts w:ascii="Times New Roman" w:hAnsi="Times New Roman" w:cs="Times New Roman"/>
          <w:color w:val="222222"/>
          <w:sz w:val="24"/>
          <w:szCs w:val="24"/>
          <w:shd w:val="clear" w:color="auto" w:fill="FFFFFF"/>
        </w:rPr>
        <w:t>(1), 1-3.</w:t>
      </w:r>
    </w:p>
    <w:p w:rsidR="002B1B95" w:rsidRPr="00C33FE4" w:rsidP="002B1B95" w14:paraId="29D10030" w14:textId="77777777">
      <w:pPr>
        <w:spacing w:line="480" w:lineRule="auto"/>
        <w:ind w:left="720" w:hanging="720"/>
        <w:rPr>
          <w:rFonts w:ascii="Times New Roman" w:hAnsi="Times New Roman" w:cs="Times New Roman"/>
          <w:color w:val="222222"/>
          <w:sz w:val="24"/>
          <w:szCs w:val="24"/>
          <w:shd w:val="clear" w:color="auto" w:fill="FFFFFF"/>
        </w:rPr>
      </w:pPr>
      <w:r w:rsidRPr="00C33FE4">
        <w:rPr>
          <w:rFonts w:ascii="Times New Roman" w:hAnsi="Times New Roman" w:cs="Times New Roman"/>
          <w:color w:val="222222"/>
          <w:sz w:val="24"/>
          <w:szCs w:val="24"/>
          <w:shd w:val="clear" w:color="auto" w:fill="FFFFFF"/>
        </w:rPr>
        <w:t>Hom, P. W., Lee, T. W., Shaw, J. D., &amp; Hausknecht, J. P. (2017). One hundred years of employee turnover theory and research. </w:t>
      </w:r>
      <w:r w:rsidRPr="00C33FE4">
        <w:rPr>
          <w:rFonts w:ascii="Times New Roman" w:hAnsi="Times New Roman" w:cs="Times New Roman"/>
          <w:i/>
          <w:iCs/>
          <w:color w:val="222222"/>
          <w:sz w:val="24"/>
          <w:szCs w:val="24"/>
          <w:shd w:val="clear" w:color="auto" w:fill="FFFFFF"/>
        </w:rPr>
        <w:t>Journal of Applied Psychology</w:t>
      </w:r>
      <w:r w:rsidRPr="00C33FE4">
        <w:rPr>
          <w:rFonts w:ascii="Times New Roman" w:hAnsi="Times New Roman" w:cs="Times New Roman"/>
          <w:color w:val="222222"/>
          <w:sz w:val="24"/>
          <w:szCs w:val="24"/>
          <w:shd w:val="clear" w:color="auto" w:fill="FFFFFF"/>
        </w:rPr>
        <w:t>, </w:t>
      </w:r>
      <w:r w:rsidRPr="00C33FE4">
        <w:rPr>
          <w:rFonts w:ascii="Times New Roman" w:hAnsi="Times New Roman" w:cs="Times New Roman"/>
          <w:i/>
          <w:iCs/>
          <w:color w:val="222222"/>
          <w:sz w:val="24"/>
          <w:szCs w:val="24"/>
          <w:shd w:val="clear" w:color="auto" w:fill="FFFFFF"/>
        </w:rPr>
        <w:t>102</w:t>
      </w:r>
      <w:r w:rsidRPr="00C33FE4">
        <w:rPr>
          <w:rFonts w:ascii="Times New Roman" w:hAnsi="Times New Roman" w:cs="Times New Roman"/>
          <w:color w:val="222222"/>
          <w:sz w:val="24"/>
          <w:szCs w:val="24"/>
          <w:shd w:val="clear" w:color="auto" w:fill="FFFFFF"/>
        </w:rPr>
        <w:t>(3), 530.</w:t>
      </w:r>
    </w:p>
    <w:p w:rsidR="002B1B95" w:rsidRPr="00C33FE4" w:rsidP="002B1B95" w14:paraId="520104FB" w14:textId="77777777">
      <w:pPr>
        <w:spacing w:line="480" w:lineRule="auto"/>
        <w:ind w:left="720" w:hanging="720"/>
        <w:rPr>
          <w:rFonts w:ascii="Times New Roman" w:hAnsi="Times New Roman" w:cs="Times New Roman"/>
          <w:color w:val="222222"/>
          <w:sz w:val="24"/>
          <w:szCs w:val="24"/>
          <w:shd w:val="clear" w:color="auto" w:fill="FFFFFF"/>
        </w:rPr>
      </w:pPr>
      <w:r w:rsidRPr="00C33FE4">
        <w:rPr>
          <w:rFonts w:ascii="Times New Roman" w:hAnsi="Times New Roman" w:cs="Times New Roman"/>
          <w:color w:val="222222"/>
          <w:sz w:val="24"/>
          <w:szCs w:val="24"/>
          <w:shd w:val="clear" w:color="auto" w:fill="FFFFFF"/>
        </w:rPr>
        <w:t>Memon, M. A., Salleh, R., Baharom, M. N. R., &amp; Harun, H. (2014). Person-Organization Fit and Turnover Intention: The Mediating Role of Employee Engagement. </w:t>
      </w:r>
      <w:r w:rsidRPr="00C33FE4">
        <w:rPr>
          <w:rFonts w:ascii="Times New Roman" w:hAnsi="Times New Roman" w:cs="Times New Roman"/>
          <w:i/>
          <w:iCs/>
          <w:color w:val="222222"/>
          <w:sz w:val="24"/>
          <w:szCs w:val="24"/>
          <w:shd w:val="clear" w:color="auto" w:fill="FFFFFF"/>
        </w:rPr>
        <w:t>Global Business &amp; Management Research</w:t>
      </w:r>
      <w:r w:rsidRPr="00C33FE4">
        <w:rPr>
          <w:rFonts w:ascii="Times New Roman" w:hAnsi="Times New Roman" w:cs="Times New Roman"/>
          <w:color w:val="222222"/>
          <w:sz w:val="24"/>
          <w:szCs w:val="24"/>
          <w:shd w:val="clear" w:color="auto" w:fill="FFFFFF"/>
        </w:rPr>
        <w:t>, </w:t>
      </w:r>
      <w:r w:rsidRPr="00C33FE4">
        <w:rPr>
          <w:rFonts w:ascii="Times New Roman" w:hAnsi="Times New Roman" w:cs="Times New Roman"/>
          <w:i/>
          <w:iCs/>
          <w:color w:val="222222"/>
          <w:sz w:val="24"/>
          <w:szCs w:val="24"/>
          <w:shd w:val="clear" w:color="auto" w:fill="FFFFFF"/>
        </w:rPr>
        <w:t>6</w:t>
      </w:r>
      <w:r w:rsidRPr="00C33FE4">
        <w:rPr>
          <w:rFonts w:ascii="Times New Roman" w:hAnsi="Times New Roman" w:cs="Times New Roman"/>
          <w:color w:val="222222"/>
          <w:sz w:val="24"/>
          <w:szCs w:val="24"/>
          <w:shd w:val="clear" w:color="auto" w:fill="FFFFFF"/>
        </w:rPr>
        <w:t>(3).</w:t>
      </w:r>
    </w:p>
    <w:p w:rsidR="002B1B95" w:rsidRPr="00C33FE4" w:rsidP="002B1B95" w14:paraId="0C28FF55" w14:textId="77777777">
      <w:pPr>
        <w:spacing w:line="480" w:lineRule="auto"/>
        <w:ind w:left="720" w:hanging="720"/>
        <w:rPr>
          <w:rFonts w:ascii="Times New Roman" w:hAnsi="Times New Roman" w:cs="Times New Roman"/>
          <w:sz w:val="24"/>
          <w:szCs w:val="24"/>
        </w:rPr>
      </w:pPr>
      <w:r w:rsidRPr="00C33FE4">
        <w:rPr>
          <w:rFonts w:ascii="Times New Roman" w:hAnsi="Times New Roman" w:cs="Times New Roman"/>
          <w:color w:val="222222"/>
          <w:sz w:val="24"/>
          <w:szCs w:val="24"/>
          <w:shd w:val="clear" w:color="auto" w:fill="FFFFFF"/>
        </w:rPr>
        <w:t>Sung, S. Y., &amp; Choi, J. N. (2014). Do organizations spend wisely on employees? Effects of training and development investments on learning and innovation in organizations. </w:t>
      </w:r>
      <w:r w:rsidRPr="00C33FE4">
        <w:rPr>
          <w:rFonts w:ascii="Times New Roman" w:hAnsi="Times New Roman" w:cs="Times New Roman"/>
          <w:i/>
          <w:iCs/>
          <w:color w:val="222222"/>
          <w:sz w:val="24"/>
          <w:szCs w:val="24"/>
          <w:shd w:val="clear" w:color="auto" w:fill="FFFFFF"/>
        </w:rPr>
        <w:t>Journal of organizational behavior</w:t>
      </w:r>
      <w:r w:rsidRPr="00C33FE4">
        <w:rPr>
          <w:rFonts w:ascii="Times New Roman" w:hAnsi="Times New Roman" w:cs="Times New Roman"/>
          <w:color w:val="222222"/>
          <w:sz w:val="24"/>
          <w:szCs w:val="24"/>
          <w:shd w:val="clear" w:color="auto" w:fill="FFFFFF"/>
        </w:rPr>
        <w:t>, </w:t>
      </w:r>
      <w:r w:rsidRPr="00C33FE4">
        <w:rPr>
          <w:rFonts w:ascii="Times New Roman" w:hAnsi="Times New Roman" w:cs="Times New Roman"/>
          <w:i/>
          <w:iCs/>
          <w:color w:val="222222"/>
          <w:sz w:val="24"/>
          <w:szCs w:val="24"/>
          <w:shd w:val="clear" w:color="auto" w:fill="FFFFFF"/>
        </w:rPr>
        <w:t>35</w:t>
      </w:r>
      <w:r w:rsidRPr="00C33FE4">
        <w:rPr>
          <w:rFonts w:ascii="Times New Roman" w:hAnsi="Times New Roman" w:cs="Times New Roman"/>
          <w:color w:val="222222"/>
          <w:sz w:val="24"/>
          <w:szCs w:val="24"/>
          <w:shd w:val="clear" w:color="auto" w:fill="FFFFFF"/>
        </w:rPr>
        <w:t>(3), 393-412.</w:t>
      </w:r>
    </w:p>
    <w:sectPr w:rsidSect="002B1B9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95" w:rsidRPr="002B1B95" w14:paraId="72E8BBD4" w14:textId="71A210E5">
    <w:pPr>
      <w:pStyle w:val="Header"/>
      <w:rPr>
        <w:rFonts w:ascii="Times New Roman" w:hAnsi="Times New Roman" w:cs="Times New Roman"/>
        <w:sz w:val="24"/>
        <w:szCs w:val="24"/>
      </w:rPr>
    </w:pPr>
    <w:r w:rsidRPr="002B1B95">
      <w:rPr>
        <w:rFonts w:ascii="Times New Roman" w:hAnsi="Times New Roman" w:cs="Times New Roman"/>
        <w:color w:val="222222"/>
        <w:sz w:val="24"/>
        <w:szCs w:val="24"/>
        <w:shd w:val="clear" w:color="auto" w:fill="FFFFFF"/>
      </w:rPr>
      <w:t>STAFFING TURNOVER</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2B1B95">
      <w:rPr>
        <w:rFonts w:ascii="Times New Roman" w:hAnsi="Times New Roman" w:cs="Times New Roman"/>
        <w:sz w:val="24"/>
        <w:szCs w:val="24"/>
      </w:rPr>
      <w:fldChar w:fldCharType="begin"/>
    </w:r>
    <w:r w:rsidRPr="002B1B95">
      <w:rPr>
        <w:rFonts w:ascii="Times New Roman" w:hAnsi="Times New Roman" w:cs="Times New Roman"/>
        <w:sz w:val="24"/>
        <w:szCs w:val="24"/>
      </w:rPr>
      <w:instrText xml:space="preserve"> PAGE   \* MERGEFORMAT </w:instrText>
    </w:r>
    <w:r w:rsidRPr="002B1B95">
      <w:rPr>
        <w:rFonts w:ascii="Times New Roman" w:hAnsi="Times New Roman" w:cs="Times New Roman"/>
        <w:sz w:val="24"/>
        <w:szCs w:val="24"/>
      </w:rPr>
      <w:fldChar w:fldCharType="separate"/>
    </w:r>
    <w:r w:rsidR="00E161AA">
      <w:rPr>
        <w:rFonts w:ascii="Times New Roman" w:hAnsi="Times New Roman" w:cs="Times New Roman"/>
        <w:noProof/>
        <w:sz w:val="24"/>
        <w:szCs w:val="24"/>
      </w:rPr>
      <w:t>3</w:t>
    </w:r>
    <w:r w:rsidRPr="002B1B9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95" w:rsidRPr="002B1B95" w14:paraId="3C8F2510" w14:textId="24DC2E54">
    <w:pPr>
      <w:pStyle w:val="Header"/>
      <w:rPr>
        <w:rFonts w:ascii="Times New Roman" w:hAnsi="Times New Roman" w:cs="Times New Roman"/>
        <w:sz w:val="24"/>
        <w:szCs w:val="24"/>
      </w:rPr>
    </w:pPr>
    <w:r w:rsidRPr="002B1B95">
      <w:rPr>
        <w:rFonts w:ascii="Times New Roman" w:hAnsi="Times New Roman" w:cs="Times New Roman"/>
        <w:sz w:val="24"/>
        <w:szCs w:val="24"/>
      </w:rPr>
      <w:t xml:space="preserve">Running head: </w:t>
    </w:r>
    <w:r w:rsidRPr="002B1B95">
      <w:rPr>
        <w:rFonts w:ascii="Times New Roman" w:hAnsi="Times New Roman" w:cs="Times New Roman"/>
        <w:color w:val="222222"/>
        <w:sz w:val="24"/>
        <w:szCs w:val="24"/>
        <w:shd w:val="clear" w:color="auto" w:fill="FFFFFF"/>
      </w:rPr>
      <w:t>STAFFING TURNOVER</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2B1B95">
      <w:rPr>
        <w:rFonts w:ascii="Times New Roman" w:hAnsi="Times New Roman" w:cs="Times New Roman"/>
        <w:sz w:val="24"/>
        <w:szCs w:val="24"/>
      </w:rPr>
      <w:fldChar w:fldCharType="begin"/>
    </w:r>
    <w:r w:rsidRPr="002B1B95">
      <w:rPr>
        <w:rFonts w:ascii="Times New Roman" w:hAnsi="Times New Roman" w:cs="Times New Roman"/>
        <w:sz w:val="24"/>
        <w:szCs w:val="24"/>
      </w:rPr>
      <w:instrText xml:space="preserve"> PAGE   \* MERGEFORMAT </w:instrText>
    </w:r>
    <w:r w:rsidRPr="002B1B95">
      <w:rPr>
        <w:rFonts w:ascii="Times New Roman" w:hAnsi="Times New Roman" w:cs="Times New Roman"/>
        <w:sz w:val="24"/>
        <w:szCs w:val="24"/>
      </w:rPr>
      <w:fldChar w:fldCharType="separate"/>
    </w:r>
    <w:r w:rsidR="00E161AA">
      <w:rPr>
        <w:rFonts w:ascii="Times New Roman" w:hAnsi="Times New Roman" w:cs="Times New Roman"/>
        <w:noProof/>
        <w:sz w:val="24"/>
        <w:szCs w:val="24"/>
      </w:rPr>
      <w:t>1</w:t>
    </w:r>
    <w:r w:rsidRPr="002B1B9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7AF"/>
    <w:rsid w:val="0016059C"/>
    <w:rsid w:val="001E7B35"/>
    <w:rsid w:val="002230BB"/>
    <w:rsid w:val="002339FB"/>
    <w:rsid w:val="002777AF"/>
    <w:rsid w:val="002B1B95"/>
    <w:rsid w:val="0035401B"/>
    <w:rsid w:val="003E4B47"/>
    <w:rsid w:val="004B320A"/>
    <w:rsid w:val="00526CD1"/>
    <w:rsid w:val="005F75B6"/>
    <w:rsid w:val="006C60B7"/>
    <w:rsid w:val="006E2852"/>
    <w:rsid w:val="00731E81"/>
    <w:rsid w:val="0078188A"/>
    <w:rsid w:val="007A484F"/>
    <w:rsid w:val="007F50BD"/>
    <w:rsid w:val="00894C08"/>
    <w:rsid w:val="0093333C"/>
    <w:rsid w:val="0099571A"/>
    <w:rsid w:val="00A36D19"/>
    <w:rsid w:val="00AE4236"/>
    <w:rsid w:val="00B06DEE"/>
    <w:rsid w:val="00C33FE4"/>
    <w:rsid w:val="00D57CB4"/>
    <w:rsid w:val="00DC4C4E"/>
    <w:rsid w:val="00DD023E"/>
    <w:rsid w:val="00E161AA"/>
    <w:rsid w:val="00E20FF5"/>
    <w:rsid w:val="00E7243F"/>
    <w:rsid w:val="00F42700"/>
    <w:rsid w:val="00FC269C"/>
    <w:rsid w:val="00FD491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B95"/>
  </w:style>
  <w:style w:type="paragraph" w:styleId="Footer">
    <w:name w:val="footer"/>
    <w:basedOn w:val="Normal"/>
    <w:link w:val="FooterChar"/>
    <w:uiPriority w:val="99"/>
    <w:unhideWhenUsed/>
    <w:rsid w:val="002B1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9</Pages>
  <Words>1938</Words>
  <Characters>11050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2019-11-12T05:53:00Z</dcterms:created>
  <dcterms:modified xsi:type="dcterms:W3CDTF">2019-11-12T14:44:00Z</dcterms:modified>
</cp:coreProperties>
</file>